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1.webp" ContentType="image/webp"/>
  <Override PartName="/word/media/image3.webp" ContentType="image/webp"/>
  <Override PartName="/word/media/image4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排污许可证工业噪声填报指引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进入全国排污许可证管理信息平台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（网址：https://permit.mee.gov.cn/permitExt/defaults/default-index!getInformation.action），点击“网上申报”。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713730" cy="255905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输入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企业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账号密码，登录系统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（如企业为首次申请排污许可证未注册账号，则需要先注册一个账号再登录）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0705" cy="3149600"/>
            <wp:effectExtent l="0" t="0" r="13335" b="5080"/>
            <wp:docPr id="3" name="图片 3" descr="349e6c524207dd1bf76ddc1a0525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9e6c524207dd1bf76ddc1a0525f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许可证业务类别选择“重新申请”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（如企业为首次申请，则许可证业务类别选择“首次申请”）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513070" cy="2760980"/>
            <wp:effectExtent l="0" t="0" r="3810" b="12700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51307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重新申请原因选择“污染物排放种类增加 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，原因说明填写“按要求增加工业噪声排污许可管理事项”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（如企业为首次申请，则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系统无此选项，可忽略此步骤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）。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93385" cy="2007870"/>
            <wp:effectExtent l="0" t="0" r="8255" b="3810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49338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工业噪声排放信息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模块，点击“添加”按钮，逐项填写。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528945" cy="2584450"/>
            <wp:effectExtent l="0" t="0" r="317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（一）产噪环节填报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进入填报页面，选择右上角“添加”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960" cy="2355215"/>
            <wp:effectExtent l="0" t="0" r="5080" b="6985"/>
            <wp:docPr id="4" name="图片 4" descr="5ecd4e51bbfa05b5aa30c95d184e3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cd4e51bbfa05b5aa30c95d184e35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2、产噪单元编号：可填报企业内部编号，如无内部编号，则按照“CZ0001、CZ0002、CZ0003……”依次编号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3、产噪单元名称：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按照生产线、生产单元或厂房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、车间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填报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，一次填报一个产噪单元，企业涉及多个产噪单元的，需完成一个产噪单元的填报后，点击第一步“添加”按钮，逐个产噪单元添加补充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4、点击“添加”填报主要产噪设施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040" cy="2208530"/>
            <wp:effectExtent l="0" t="0" r="0" b="12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选择主要产噪设施：根据排污单位实际，按照HJ 1301-2023附表A.1、适用的行业污染防治可行技术指南、经批复的环评文件等资料，识别填报主要产噪设施。可根据实际情况选择系统内已带入的产噪设施，如无则选择“其他”后自行编辑，一次填报一个主要产噪设施，企业同一产噪单元涉及多个主要产噪设施的，需完成一个主要产噪设施的填报后，点击第4步“添加”按钮，逐个主要产噪设施添加填写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9865" cy="2259330"/>
            <wp:effectExtent l="0" t="0" r="0" b="0"/>
            <wp:docPr id="8" name="图片 8" descr="0b4e3145c05c06222403a78a1386c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b4e3145c05c06222403a78a1386c12d"/>
                    <pic:cNvPicPr>
                      <a:picLocks noChangeAspect="1"/>
                    </pic:cNvPicPr>
                  </pic:nvPicPr>
                  <pic:blipFill>
                    <a:blip r:embed="rId11"/>
                    <a:srcRect t="2070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6、点击“添加”填报主要噪声污染防治设施：根据排污单位实际情况，按照HJ 1301-2023附表A.1以及适用的行业污染防治可行技术指南、经批准的环评报告书（表）填报主要噪声防治设施。可根据实际情况选择系统内已带入的噪声污染防治设施，如无则选择“其他”后自行编辑，噪声污染防治设施要与产噪设施相对应。企业同一产噪单元涉及多个主要噪声防治设施的，需完成一个主要噪声防治设施的填报后，再次点击第6步“添加”按钮，逐个主要噪声防治设施添加填写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254885"/>
            <wp:effectExtent l="0" t="0" r="0" b="0"/>
            <wp:docPr id="11" name="图片 11" descr="40240df11874124ce8d44f30dce44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0240df11874124ce8d44f30dce440cd"/>
                    <pic:cNvPicPr>
                      <a:picLocks noChangeAspect="1"/>
                    </pic:cNvPicPr>
                  </pic:nvPicPr>
                  <pic:blipFill>
                    <a:blip r:embed="rId12"/>
                    <a:srcRect t="4298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（二）执行标准填报</w:t>
      </w:r>
    </w:p>
    <w:p>
      <w:pPr>
        <w:numPr>
          <w:ilvl w:val="0"/>
          <w:numId w:val="4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选择右上角“添加”填报执行标准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149985"/>
            <wp:effectExtent l="0" t="0" r="4445" b="825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排放标准名称：选择《工业企业厂界环境噪声排放标准》</w:t>
      </w:r>
    </w:p>
    <w:p>
      <w:pPr>
        <w:numPr>
          <w:ilvl w:val="0"/>
          <w:numId w:val="4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生产时段：按照企业实际生产时段填报，不应超过环评中载明的设计生产时间。其中06:00-22:00生产的属于昼间生产时段；22:00-次日06:00生产的属于夜间生产时段。如不涉及昼间生产或者不涉及夜间生产的，对应的“昼间”或“夜间”生产时段留空即可。如:生产时段为早上8点30分-晚上6点30分的(含中午休息时间)，则昼间生产时段选择“08:30-18:30”，夜间需留空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82540" cy="1501140"/>
            <wp:effectExtent l="0" t="0" r="7620" b="762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（三）工业噪声排放许可管理要求填报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1、选择右上角“添加”填报</w:t>
      </w: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275080"/>
            <wp:effectExtent l="0" t="0" r="14605" b="5080"/>
            <wp:docPr id="30" name="图片 3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厂界噪声点位名称：一般可按照东、南、西、北厂界或东南、东北、西南、西北厂界等厂界四周划分定义，如涉及多个厂界噪声点位，需填报保存后再次点击第1步的“添加”按钮进行填报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厂界外声环境功能区类别：2024年12月30日后批复的环评，按照环评文件中排污单位所在区域的声环境功能区划进行填报，2024年12月30日前批复的项目，按照《</w:t>
      </w:r>
      <w:bookmarkStart w:id="0" w:name="OLE_LINK1"/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东莞市声环境功能区划</w:t>
      </w:r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（2024版）》填报功能区类别。确定厂界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外声环境功能区类别后，昼间、夜间的排放限值会自动带出，如企业无夜间生产，则夜间等效声级和最大声级限值统一填“/”。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90160" cy="2232660"/>
            <wp:effectExtent l="0" t="0" r="0" b="7620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（四）自行监测要求填报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1、选择右上角“添加”填报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1568450"/>
            <wp:effectExtent l="0" t="0" r="3175" b="1270"/>
            <wp:docPr id="31" name="图片 3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5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厂界噪声点位名称：点击选择（系统会自动保存上一步工业噪声排放许可管理要求填报的噪声点位，选择1个点位确定即可），一次只能选择1个噪声点位，如涉及多个厂界噪声点位，需填报完整页面信息保存后再次点击第1步的“添加”按钮进行填报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3657600"/>
            <wp:effectExtent l="0" t="0" r="127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监测指标：仅昼间生产的只需选择等效声级，昼间、夜间均生产的需同时选择等效声级、最大声级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3157220"/>
            <wp:effectExtent l="0" t="0" r="5080" b="1270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4、监测技术：如企业属于东莞市当年度噪声重点排污单位，监测技术选择“自动”，否则，选择“手工”即可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5、自动监测是否应联网：如监测技术为手工，则选择“否”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6、监测频次：一般情况选择1次/季度。有行业自行监测技术指南的，按照行业自行监测技术指南中最低监测频次执行（如适用《排污单位自行监测技术指南 陶瓷工业》（HJ1255-2022）或《排污单位自行监测技术指南 砖瓦工业》（HJ1254-2022）的工业噪声排污单位，其手工监测频次为1次/半年）；无行业自行监测技术指南的，或行业自行监测技术指南未规定的，按照 HJ 819 执行，选择1次/季度。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06340" cy="1531620"/>
            <wp:effectExtent l="0" t="0" r="7620" b="7620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（五）其他信息填报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1、保留系统默认填报内容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1572895"/>
            <wp:effectExtent l="0" t="0" r="2540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2、如有下列需要说明的情况，在默认数据前面补充备注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注1：如某一方向的四至厂界因客观原因无法设置厂界噪声点位的，须说明具体原因。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注2：与其他单位共用厂界噪声点位及工业噪声监测数据的，须说明具体情况。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注3：如夜间不生产的，须备注说明。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六、选择“环境管理要求-环境管理台账记录要求”模块，点击“添加”按钮，逐项填写。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0975" cy="2003425"/>
            <wp:effectExtent l="0" t="0" r="12065" b="825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工业噪声环境管理台账填报示例</w:t>
      </w:r>
    </w:p>
    <w:tbl>
      <w:tblPr>
        <w:tblStyle w:val="4"/>
        <w:tblpPr w:leftFromText="180" w:rightFromText="180" w:vertAnchor="text" w:horzAnchor="page" w:tblpX="1447" w:tblpY="477"/>
        <w:tblOverlap w:val="never"/>
        <w:tblW w:w="99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260"/>
        <w:gridCol w:w="3720"/>
        <w:gridCol w:w="1270"/>
        <w:gridCol w:w="1440"/>
        <w:gridCol w:w="18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405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黑体" w:hAnsi="宋体" w:eastAsia="黑体" w:cs="黑体"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126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黑体" w:hAnsi="宋体" w:eastAsia="黑体" w:cs="黑体"/>
                <w:color w:val="000000"/>
                <w:sz w:val="22"/>
                <w:szCs w:val="22"/>
              </w:rPr>
              <w:t>类别</w:t>
            </w:r>
          </w:p>
        </w:tc>
        <w:tc>
          <w:tcPr>
            <w:tcW w:w="37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黑体" w:hAnsi="宋体" w:eastAsia="黑体" w:cs="黑体"/>
                <w:color w:val="000000"/>
                <w:sz w:val="22"/>
                <w:szCs w:val="22"/>
              </w:rPr>
              <w:t>记录内容</w:t>
            </w:r>
          </w:p>
        </w:tc>
        <w:tc>
          <w:tcPr>
            <w:tcW w:w="127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黑体" w:hAnsi="宋体" w:eastAsia="黑体" w:cs="黑体"/>
                <w:color w:val="000000"/>
                <w:sz w:val="22"/>
                <w:szCs w:val="22"/>
              </w:rPr>
              <w:t>记录频次</w:t>
            </w:r>
          </w:p>
        </w:tc>
        <w:tc>
          <w:tcPr>
            <w:tcW w:w="144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sz w:val="22"/>
                <w:szCs w:val="22"/>
              </w:rPr>
              <w:t>记录形式</w:t>
            </w:r>
            <w:r>
              <w:rPr>
                <w:rFonts w:hint="eastAsia" w:ascii="黑体" w:hAnsi="宋体" w:eastAsia="黑体" w:cs="黑体"/>
                <w:color w:val="000000"/>
                <w:sz w:val="22"/>
                <w:szCs w:val="22"/>
                <w:vertAlign w:val="superscript"/>
                <w:lang w:val="en-US" w:eastAsia="zh-CN"/>
              </w:rPr>
              <w:t>1</w:t>
            </w:r>
          </w:p>
        </w:tc>
        <w:tc>
          <w:tcPr>
            <w:tcW w:w="18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黑体" w:hAnsi="宋体" w:eastAsia="黑体" w:cs="黑体"/>
                <w:color w:val="000000"/>
                <w:sz w:val="22"/>
                <w:szCs w:val="22"/>
              </w:rPr>
              <w:t>其他信息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405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仿宋_GB2312" w:eastAsia="仿宋_GB2312" w:cs="仿宋_GB2312"/>
                <w:color w:val="000000"/>
                <w:sz w:val="22"/>
                <w:szCs w:val="22"/>
              </w:rPr>
              <w:t>其他环境管理信息</w:t>
            </w:r>
          </w:p>
        </w:tc>
        <w:tc>
          <w:tcPr>
            <w:tcW w:w="37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噪声污染防治设施维修和更换情况：包括维修、更换时间，维修、更换内容。</w:t>
            </w:r>
          </w:p>
        </w:tc>
        <w:tc>
          <w:tcPr>
            <w:tcW w:w="127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每发生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次记录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次</w:t>
            </w:r>
          </w:p>
        </w:tc>
        <w:tc>
          <w:tcPr>
            <w:tcW w:w="144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+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</w:p>
        </w:tc>
        <w:tc>
          <w:tcPr>
            <w:tcW w:w="18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台账保存期限不得少于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年，由工业噪声排污单位留存备查。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405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rPr>
                <w:rFonts w:hint="eastAsia" w:eastAsia="仿宋_GB2312"/>
                <w:lang w:val="en-US" w:eastAsia="zh-CN"/>
              </w:rPr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其他环境管理信息</w:t>
            </w:r>
            <w:r>
              <w:rPr>
                <w:rFonts w:hint="eastAsia" w:ascii="仿宋_GB2312" w:eastAsia="仿宋_GB2312" w:cs="仿宋_GB2312"/>
                <w:color w:val="00000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37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工业噪声手工监测时段信息：监测时段内非正常工况情形、事件原因、是否报告、应对措施等；监测时段内工业噪声排放值超标情况，包括超标原因、是否报告、应对措施等。</w:t>
            </w:r>
          </w:p>
        </w:tc>
        <w:tc>
          <w:tcPr>
            <w:tcW w:w="127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每发生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次记录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次</w:t>
            </w:r>
          </w:p>
        </w:tc>
        <w:tc>
          <w:tcPr>
            <w:tcW w:w="144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+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</w:p>
        </w:tc>
        <w:tc>
          <w:tcPr>
            <w:tcW w:w="18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台账保存期限不得少于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年，由工业噪声排污单位留存备查。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405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rPr>
                <w:rFonts w:hint="eastAsia" w:eastAsia="仿宋_GB2312"/>
                <w:lang w:val="en-US" w:eastAsia="zh-CN"/>
              </w:rPr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其他环境管理信息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</w:p>
        </w:tc>
        <w:tc>
          <w:tcPr>
            <w:tcW w:w="37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工业噪声自动监测时段信息：工业噪声排放值超标情况，包括超标原因、是否报告、应对措施等。</w:t>
            </w:r>
          </w:p>
          <w:p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0" w:rightChars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（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）工业噪声自动监测设备异常情况：包括异常情况开始时间、结束时间、异常情况情形、是否报告、应对措施等。</w:t>
            </w:r>
          </w:p>
        </w:tc>
        <w:tc>
          <w:tcPr>
            <w:tcW w:w="127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每发生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次记录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次</w:t>
            </w:r>
          </w:p>
        </w:tc>
        <w:tc>
          <w:tcPr>
            <w:tcW w:w="144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+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</w:p>
        </w:tc>
        <w:tc>
          <w:tcPr>
            <w:tcW w:w="1820" w:type="dxa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台账保存期限不得少于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年，由工业噪声排污单位留存备查。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1" w:hRule="atLeast"/>
        </w:trPr>
        <w:tc>
          <w:tcPr>
            <w:tcW w:w="9915" w:type="dxa"/>
            <w:gridSpan w:val="6"/>
            <w:tcBorders>
              <w:top w:val="single" w:color="000008" w:sz="4" w:space="0"/>
              <w:left w:val="single" w:color="000008" w:sz="4" w:space="0"/>
              <w:bottom w:val="single" w:color="000008" w:sz="4" w:space="0"/>
              <w:right w:val="single" w:color="000008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  <w:lang w:val="en-US" w:eastAsia="zh-CN"/>
              </w:rPr>
              <w:t>注1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：排污单位根据自身实际情况选择工业噪声台账记录形式，可选择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“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”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、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“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”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或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“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电子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+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纸质台账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”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注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：有工业噪声手工监测要求的，该行属于必填项；无工业噪声手工监测要求（例如位于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“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厂中厂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”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或者四至厂界紧邻其他排污单位等，且与其他排污单位协商确定不需要开展厂界噪声监测的），可不填报该行。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注</w:t>
            </w: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</w:rPr>
              <w:t>3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：工业噪声排污单位属于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  <w:lang w:val="en-US" w:eastAsia="zh-CN"/>
              </w:rPr>
              <w:t>东莞市</w:t>
            </w:r>
            <w:r>
              <w:rPr>
                <w:rFonts w:hint="eastAsia" w:ascii="仿宋_GB2312" w:eastAsia="仿宋_GB2312" w:cs="仿宋_GB2312"/>
                <w:color w:val="000000"/>
                <w:sz w:val="22"/>
                <w:szCs w:val="22"/>
              </w:rPr>
              <w:t>当年度噪声重点排污单位的，该行属于必填项；其余情形，不填报该行。</w:t>
            </w:r>
          </w:p>
        </w:tc>
      </w:tr>
    </w:tbl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七、选择“相关附件”模块，依次在达标证明材料、监测点位示意图、主要产噪设施和主要噪声污染防治设施分布图处点击“点击上传”按钮，逐项上传对应附件。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首次申请或重新申请时排污单位还应提交守法承诺书、排污许可证申领信息公开情况说明表（重点管理企业必交，简化管理企业无需提交）、自行监测方案、排污口和监测孔排放口规范化设置情况说明等材料。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975" cy="2145665"/>
            <wp:effectExtent l="0" t="0" r="12065" b="317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1、达标证明材料：优先上传历史噪声监测报告，如首次申请排污单位无历史噪声监测报告，可选择上传环评文件中的噪声达标分析或监测数据</w:t>
      </w:r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监测点位示意图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：需确保噪声监测点位标注完整且正确</w:t>
      </w:r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主要噪声污染防治设施分布图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：需确保主要产噪设施和对应污染防治设施标注完整且正确，示例图如下：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3440" cy="3244215"/>
            <wp:effectExtent l="0" t="0" r="10160" b="1905"/>
            <wp:docPr id="2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93344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八、以上所有噪声内容填报完整，附件上传后，选择“提交申请”模块，点击“提交”按钮提交审核。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1486535"/>
            <wp:effectExtent l="0" t="0" r="3175" b="698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8FF4FD"/>
    <w:multiLevelType w:val="singleLevel"/>
    <w:tmpl w:val="098FF4F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B02009A"/>
    <w:multiLevelType w:val="singleLevel"/>
    <w:tmpl w:val="1B02009A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2D739242"/>
    <w:multiLevelType w:val="singleLevel"/>
    <w:tmpl w:val="2D73924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93369BE"/>
    <w:multiLevelType w:val="singleLevel"/>
    <w:tmpl w:val="393369BE"/>
    <w:lvl w:ilvl="0" w:tentative="0">
      <w:start w:val="5"/>
      <w:numFmt w:val="decimal"/>
      <w:suff w:val="nothing"/>
      <w:lvlText w:val="%1、"/>
      <w:lvlJc w:val="left"/>
    </w:lvl>
  </w:abstractNum>
  <w:abstractNum w:abstractNumId="4">
    <w:nsid w:val="3A5A94DC"/>
    <w:multiLevelType w:val="singleLevel"/>
    <w:tmpl w:val="3A5A94D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">
    <w:nsid w:val="75BE50D5"/>
    <w:multiLevelType w:val="singleLevel"/>
    <w:tmpl w:val="75BE50D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iNTVmMzYzZGM1Mjg2Y2M3M2I2NzFiMDFjMzVmNDUifQ=="/>
  </w:docVars>
  <w:rsids>
    <w:rsidRoot w:val="37322A7B"/>
    <w:rsid w:val="0EAF29DF"/>
    <w:rsid w:val="19A65A6C"/>
    <w:rsid w:val="20701487"/>
    <w:rsid w:val="2141193C"/>
    <w:rsid w:val="27CE2933"/>
    <w:rsid w:val="2DDB36B0"/>
    <w:rsid w:val="303C3F3F"/>
    <w:rsid w:val="30ED7159"/>
    <w:rsid w:val="311F377E"/>
    <w:rsid w:val="31AD2215"/>
    <w:rsid w:val="370E2E8A"/>
    <w:rsid w:val="37322A7B"/>
    <w:rsid w:val="3818296C"/>
    <w:rsid w:val="4A903E3F"/>
    <w:rsid w:val="54B86B3E"/>
    <w:rsid w:val="56D0050E"/>
    <w:rsid w:val="5CC4483E"/>
    <w:rsid w:val="5D207AC3"/>
    <w:rsid w:val="627A1E6E"/>
    <w:rsid w:val="6F844AEC"/>
    <w:rsid w:val="785B2C62"/>
    <w:rsid w:val="7A6E168C"/>
    <w:rsid w:val="7F49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webp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3626</Words>
  <Characters>3886</Characters>
  <Lines>0</Lines>
  <Paragraphs>0</Paragraphs>
  <TotalTime>149</TotalTime>
  <ScaleCrop>false</ScaleCrop>
  <LinksUpToDate>false</LinksUpToDate>
  <CharactersWithSpaces>3894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2024-10-22T07:31:00Z</dcterms:created>
  <dc:creator>Juny</dc:creator>
  <cp:lastModifiedBy>杨冀桢</cp:lastModifiedBy>
  <dcterms:modified xsi:type="dcterms:W3CDTF">2025-03-19T08:42:39Z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14CA6A86569B4B55AF631BFA5F838FCE</vt:lpwstr>
  </property>
</Properties>
</file>