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eastAsia="方正小标宋简体"/>
          <w:sz w:val="44"/>
          <w:szCs w:val="44"/>
          <w:lang w:val="en-US" w:eastAsia="zh-CN"/>
        </w:rPr>
      </w:pPr>
      <w:r>
        <w:rPr>
          <w:rFonts w:hint="eastAsia" w:eastAsia="方正小标宋简体"/>
          <w:sz w:val="44"/>
          <w:szCs w:val="44"/>
          <w:lang w:val="en-US" w:eastAsia="zh-CN"/>
        </w:rPr>
        <w:t>报告书编制大纲</w:t>
      </w:r>
      <w:r>
        <w:rPr>
          <w:rStyle w:val="6"/>
          <w:rFonts w:hint="eastAsia" w:eastAsia="方正小标宋简体"/>
          <w:sz w:val="44"/>
          <w:szCs w:val="44"/>
          <w:lang w:val="en-US" w:eastAsia="zh-CN"/>
        </w:rPr>
        <w:footnoteReference w:id="0"/>
      </w:r>
    </w:p>
    <w:p>
      <w:pPr>
        <w:spacing w:line="600" w:lineRule="exact"/>
        <w:jc w:val="center"/>
        <w:rPr>
          <w:rFonts w:hint="default" w:eastAsia="方正小标宋简体"/>
          <w:sz w:val="44"/>
          <w:szCs w:val="44"/>
          <w:lang w:val="en-US" w:eastAsia="zh-CN"/>
        </w:rPr>
      </w:pPr>
    </w:p>
    <w:p>
      <w:pPr>
        <w:keepNext w:val="0"/>
        <w:keepLines w:val="0"/>
        <w:pageBreakBefore w:val="0"/>
        <w:widowControl w:val="0"/>
        <w:numPr>
          <w:ilvl w:val="0"/>
          <w:numId w:val="1"/>
        </w:numPr>
        <w:kinsoku/>
        <w:wordWrap/>
        <w:overflowPunct/>
        <w:topLinePunct w:val="0"/>
        <w:autoSpaceDE/>
        <w:autoSpaceDN/>
        <w:bidi w:val="0"/>
        <w:adjustRightInd w:val="0"/>
        <w:snapToGrid w:val="0"/>
        <w:ind w:left="454" w:leftChars="0" w:hanging="454" w:firstLineChars="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概述</w:t>
      </w:r>
    </w:p>
    <w:p>
      <w:pPr>
        <w:keepNext w:val="0"/>
        <w:keepLines w:val="0"/>
        <w:pageBreakBefore w:val="0"/>
        <w:widowControl w:val="0"/>
        <w:numPr>
          <w:ilvl w:val="0"/>
          <w:numId w:val="1"/>
        </w:numPr>
        <w:kinsoku/>
        <w:wordWrap/>
        <w:overflowPunct/>
        <w:topLinePunct w:val="0"/>
        <w:autoSpaceDE/>
        <w:autoSpaceDN/>
        <w:bidi w:val="0"/>
        <w:adjustRightInd w:val="0"/>
        <w:snapToGrid w:val="0"/>
        <w:ind w:left="454" w:leftChars="0" w:hanging="454" w:firstLineChars="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总则</w:t>
      </w:r>
    </w:p>
    <w:p>
      <w:pPr>
        <w:keepNext w:val="0"/>
        <w:keepLines w:val="0"/>
        <w:pageBreakBefore w:val="0"/>
        <w:widowControl w:val="0"/>
        <w:numPr>
          <w:ilvl w:val="0"/>
          <w:numId w:val="1"/>
        </w:numPr>
        <w:kinsoku/>
        <w:wordWrap/>
        <w:overflowPunct/>
        <w:topLinePunct w:val="0"/>
        <w:autoSpaceDE/>
        <w:autoSpaceDN/>
        <w:bidi w:val="0"/>
        <w:adjustRightInd w:val="0"/>
        <w:snapToGrid w:val="0"/>
        <w:ind w:left="454" w:leftChars="0" w:hanging="454" w:firstLineChars="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建设项目工程分析</w:t>
      </w:r>
    </w:p>
    <w:p>
      <w:pPr>
        <w:keepNext w:val="0"/>
        <w:keepLines w:val="0"/>
        <w:pageBreakBefore w:val="0"/>
        <w:widowControl w:val="0"/>
        <w:numPr>
          <w:ilvl w:val="0"/>
          <w:numId w:val="1"/>
        </w:numPr>
        <w:kinsoku/>
        <w:wordWrap/>
        <w:overflowPunct/>
        <w:topLinePunct w:val="0"/>
        <w:autoSpaceDE/>
        <w:autoSpaceDN/>
        <w:bidi w:val="0"/>
        <w:adjustRightInd w:val="0"/>
        <w:snapToGrid w:val="0"/>
        <w:ind w:left="454" w:leftChars="0" w:hanging="454" w:firstLineChars="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环境现状调查与评价</w:t>
      </w:r>
    </w:p>
    <w:p>
      <w:pPr>
        <w:keepNext w:val="0"/>
        <w:keepLines w:val="0"/>
        <w:pageBreakBefore w:val="0"/>
        <w:widowControl w:val="0"/>
        <w:numPr>
          <w:ilvl w:val="0"/>
          <w:numId w:val="1"/>
        </w:numPr>
        <w:kinsoku/>
        <w:wordWrap/>
        <w:overflowPunct/>
        <w:topLinePunct w:val="0"/>
        <w:autoSpaceDE/>
        <w:autoSpaceDN/>
        <w:bidi w:val="0"/>
        <w:adjustRightInd w:val="0"/>
        <w:snapToGrid w:val="0"/>
        <w:ind w:left="454" w:leftChars="0" w:hanging="454" w:firstLineChars="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环境影响预测与评价</w:t>
      </w:r>
    </w:p>
    <w:p>
      <w:pPr>
        <w:keepNext w:val="0"/>
        <w:keepLines w:val="0"/>
        <w:pageBreakBefore w:val="0"/>
        <w:widowControl w:val="0"/>
        <w:numPr>
          <w:ilvl w:val="0"/>
          <w:numId w:val="1"/>
        </w:numPr>
        <w:kinsoku/>
        <w:wordWrap/>
        <w:overflowPunct/>
        <w:topLinePunct w:val="0"/>
        <w:autoSpaceDE/>
        <w:autoSpaceDN/>
        <w:bidi w:val="0"/>
        <w:adjustRightInd w:val="0"/>
        <w:snapToGrid w:val="0"/>
        <w:ind w:left="454" w:leftChars="0" w:hanging="454" w:firstLineChars="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环境保护措施及其可行性论证</w:t>
      </w:r>
    </w:p>
    <w:p>
      <w:pPr>
        <w:keepNext w:val="0"/>
        <w:keepLines w:val="0"/>
        <w:pageBreakBefore w:val="0"/>
        <w:widowControl w:val="0"/>
        <w:numPr>
          <w:ilvl w:val="0"/>
          <w:numId w:val="1"/>
        </w:numPr>
        <w:kinsoku/>
        <w:wordWrap/>
        <w:overflowPunct/>
        <w:topLinePunct w:val="0"/>
        <w:autoSpaceDE/>
        <w:autoSpaceDN/>
        <w:bidi w:val="0"/>
        <w:adjustRightInd w:val="0"/>
        <w:snapToGrid w:val="0"/>
        <w:ind w:left="454" w:leftChars="0" w:hanging="454" w:firstLineChars="0"/>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入河排污口设置论证</w:t>
      </w:r>
      <w:r>
        <w:rPr>
          <w:rStyle w:val="6"/>
          <w:rFonts w:hint="eastAsia" w:ascii="仿宋" w:hAnsi="仿宋" w:eastAsia="仿宋" w:cs="仿宋"/>
          <w:b w:val="0"/>
          <w:bCs w:val="0"/>
          <w:color w:val="auto"/>
          <w:sz w:val="32"/>
          <w:szCs w:val="32"/>
          <w:lang w:val="en-US" w:eastAsia="zh-CN"/>
        </w:rPr>
        <w:footnoteReference w:id="1"/>
      </w:r>
    </w:p>
    <w:p>
      <w:pPr>
        <w:keepNext w:val="0"/>
        <w:keepLines w:val="0"/>
        <w:pageBreakBefore w:val="0"/>
        <w:widowControl w:val="0"/>
        <w:numPr>
          <w:ilvl w:val="0"/>
          <w:numId w:val="0"/>
        </w:numPr>
        <w:kinsoku/>
        <w:wordWrap/>
        <w:overflowPunct/>
        <w:topLinePunct w:val="0"/>
        <w:autoSpaceDE/>
        <w:autoSpaceDN/>
        <w:bidi w:val="0"/>
        <w:adjustRightInd w:val="0"/>
        <w:snapToGrid w:val="0"/>
        <w:ind w:left="0" w:leftChars="0" w:firstLine="283"/>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7.1入河排污口所在水域水质现状及接纳污水状况</w:t>
      </w:r>
    </w:p>
    <w:p>
      <w:pPr>
        <w:keepNext w:val="0"/>
        <w:keepLines w:val="0"/>
        <w:pageBreakBefore w:val="0"/>
        <w:widowControl w:val="0"/>
        <w:numPr>
          <w:ilvl w:val="0"/>
          <w:numId w:val="0"/>
        </w:numPr>
        <w:kinsoku/>
        <w:wordWrap/>
        <w:overflowPunct/>
        <w:topLinePunct w:val="0"/>
        <w:autoSpaceDE/>
        <w:autoSpaceDN/>
        <w:bidi w:val="0"/>
        <w:adjustRightInd w:val="0"/>
        <w:snapToGrid w:val="0"/>
        <w:ind w:left="0" w:leftChars="0" w:firstLine="283"/>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7.2入河排污口设置方案、位置(具体经纬度，精确到秒 )、排放方式</w:t>
      </w:r>
    </w:p>
    <w:p>
      <w:pPr>
        <w:keepNext w:val="0"/>
        <w:keepLines w:val="0"/>
        <w:pageBreakBefore w:val="0"/>
        <w:widowControl w:val="0"/>
        <w:numPr>
          <w:ilvl w:val="0"/>
          <w:numId w:val="0"/>
        </w:numPr>
        <w:kinsoku/>
        <w:wordWrap/>
        <w:overflowPunct/>
        <w:topLinePunct w:val="0"/>
        <w:autoSpaceDE/>
        <w:autoSpaceDN/>
        <w:bidi w:val="0"/>
        <w:adjustRightInd w:val="0"/>
        <w:snapToGrid w:val="0"/>
        <w:ind w:left="0" w:leftChars="0" w:firstLine="283"/>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7.3入河排污口设置的必要性、可行性和合理性</w:t>
      </w:r>
    </w:p>
    <w:p>
      <w:pPr>
        <w:keepNext w:val="0"/>
        <w:keepLines w:val="0"/>
        <w:pageBreakBefore w:val="0"/>
        <w:widowControl w:val="0"/>
        <w:numPr>
          <w:ilvl w:val="0"/>
          <w:numId w:val="0"/>
        </w:numPr>
        <w:kinsoku/>
        <w:wordWrap/>
        <w:overflowPunct/>
        <w:topLinePunct w:val="0"/>
        <w:autoSpaceDE/>
        <w:autoSpaceDN/>
        <w:bidi w:val="0"/>
        <w:adjustRightInd w:val="0"/>
        <w:snapToGrid w:val="0"/>
        <w:ind w:left="0" w:leftChars="0" w:firstLine="283"/>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7.4入河污水所含主要污染物种类及其排放浓度和总量</w:t>
      </w:r>
    </w:p>
    <w:p>
      <w:pPr>
        <w:keepNext w:val="0"/>
        <w:keepLines w:val="0"/>
        <w:pageBreakBefore w:val="0"/>
        <w:widowControl w:val="0"/>
        <w:numPr>
          <w:ilvl w:val="0"/>
          <w:numId w:val="0"/>
        </w:numPr>
        <w:kinsoku/>
        <w:wordWrap/>
        <w:overflowPunct/>
        <w:topLinePunct w:val="0"/>
        <w:autoSpaceDE/>
        <w:autoSpaceDN/>
        <w:bidi w:val="0"/>
        <w:adjustRightInd w:val="0"/>
        <w:snapToGrid w:val="0"/>
        <w:ind w:left="0" w:leftChars="0" w:firstLine="283"/>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7.5水域水质保护要求，入河污水对水域水质和水生态的影响</w:t>
      </w:r>
    </w:p>
    <w:p>
      <w:pPr>
        <w:keepNext w:val="0"/>
        <w:keepLines w:val="0"/>
        <w:pageBreakBefore w:val="0"/>
        <w:widowControl w:val="0"/>
        <w:numPr>
          <w:ilvl w:val="0"/>
          <w:numId w:val="0"/>
        </w:numPr>
        <w:kinsoku/>
        <w:wordWrap/>
        <w:overflowPunct/>
        <w:topLinePunct w:val="0"/>
        <w:autoSpaceDE/>
        <w:autoSpaceDN/>
        <w:bidi w:val="0"/>
        <w:adjustRightInd w:val="0"/>
        <w:snapToGrid w:val="0"/>
        <w:ind w:left="0" w:leftChars="0" w:firstLine="283"/>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7.6入河排污口设置对有利害关系的第三者的影响</w:t>
      </w:r>
    </w:p>
    <w:p>
      <w:pPr>
        <w:keepNext w:val="0"/>
        <w:keepLines w:val="0"/>
        <w:pageBreakBefore w:val="0"/>
        <w:widowControl w:val="0"/>
        <w:numPr>
          <w:ilvl w:val="0"/>
          <w:numId w:val="0"/>
        </w:numPr>
        <w:kinsoku/>
        <w:wordWrap/>
        <w:overflowPunct/>
        <w:topLinePunct w:val="0"/>
        <w:autoSpaceDE/>
        <w:autoSpaceDN/>
        <w:bidi w:val="0"/>
        <w:adjustRightInd w:val="0"/>
        <w:snapToGrid w:val="0"/>
        <w:ind w:left="0" w:leftChars="0" w:firstLine="567"/>
        <w:textAlignment w:val="auto"/>
        <w:rPr>
          <w:rFonts w:hint="eastAsia" w:eastAsia="仿宋_GB2312"/>
          <w:sz w:val="32"/>
          <w:szCs w:val="32"/>
        </w:rPr>
      </w:pPr>
      <w:r>
        <w:rPr>
          <w:rFonts w:hint="eastAsia" w:ascii="仿宋" w:hAnsi="仿宋" w:eastAsia="仿宋" w:cs="仿宋"/>
          <w:b w:val="0"/>
          <w:bCs w:val="0"/>
          <w:sz w:val="32"/>
          <w:szCs w:val="32"/>
          <w:lang w:val="en-US" w:eastAsia="zh-CN"/>
        </w:rPr>
        <w:t>7.6.1</w:t>
      </w:r>
      <w:r>
        <w:rPr>
          <w:rFonts w:hint="eastAsia" w:eastAsia="仿宋_GB2312"/>
          <w:sz w:val="32"/>
          <w:szCs w:val="32"/>
        </w:rPr>
        <w:t>主要集中城市生活饮用水水源以及第三方取用水对入河排污口设置的制约</w:t>
      </w:r>
    </w:p>
    <w:p>
      <w:pPr>
        <w:keepNext w:val="0"/>
        <w:keepLines w:val="0"/>
        <w:pageBreakBefore w:val="0"/>
        <w:widowControl w:val="0"/>
        <w:numPr>
          <w:ilvl w:val="0"/>
          <w:numId w:val="0"/>
        </w:numPr>
        <w:kinsoku/>
        <w:wordWrap/>
        <w:overflowPunct/>
        <w:topLinePunct w:val="0"/>
        <w:autoSpaceDE/>
        <w:autoSpaceDN/>
        <w:bidi w:val="0"/>
        <w:adjustRightInd w:val="0"/>
        <w:snapToGrid w:val="0"/>
        <w:ind w:left="0" w:leftChars="0" w:firstLine="567"/>
        <w:textAlignment w:val="auto"/>
        <w:rPr>
          <w:rFonts w:hint="eastAsia" w:eastAsia="仿宋_GB2312"/>
          <w:sz w:val="32"/>
          <w:szCs w:val="32"/>
        </w:rPr>
      </w:pPr>
      <w:r>
        <w:rPr>
          <w:rFonts w:hint="eastAsia" w:ascii="仿宋" w:hAnsi="仿宋" w:eastAsia="仿宋" w:cs="仿宋"/>
          <w:b w:val="0"/>
          <w:bCs w:val="0"/>
          <w:sz w:val="32"/>
          <w:szCs w:val="32"/>
          <w:lang w:val="en-US" w:eastAsia="zh-CN"/>
        </w:rPr>
        <w:t>7.6.2</w:t>
      </w:r>
      <w:r>
        <w:rPr>
          <w:rFonts w:hint="eastAsia" w:eastAsia="仿宋_GB2312"/>
          <w:sz w:val="32"/>
          <w:szCs w:val="32"/>
        </w:rPr>
        <w:t>持久性有机污染物、重金属或有毒有害水污染物对水源地的污染风险</w:t>
      </w:r>
    </w:p>
    <w:p>
      <w:pPr>
        <w:keepNext w:val="0"/>
        <w:keepLines w:val="0"/>
        <w:pageBreakBefore w:val="0"/>
        <w:widowControl w:val="0"/>
        <w:numPr>
          <w:ilvl w:val="0"/>
          <w:numId w:val="0"/>
        </w:numPr>
        <w:kinsoku/>
        <w:wordWrap/>
        <w:overflowPunct/>
        <w:topLinePunct w:val="0"/>
        <w:autoSpaceDE/>
        <w:autoSpaceDN/>
        <w:bidi w:val="0"/>
        <w:adjustRightInd w:val="0"/>
        <w:snapToGrid w:val="0"/>
        <w:ind w:left="0" w:leftChars="0" w:firstLine="567"/>
        <w:textAlignment w:val="auto"/>
        <w:rPr>
          <w:rFonts w:hint="eastAsia" w:eastAsia="仿宋_GB2312"/>
          <w:sz w:val="32"/>
          <w:szCs w:val="32"/>
        </w:rPr>
      </w:pPr>
      <w:r>
        <w:rPr>
          <w:rFonts w:hint="eastAsia" w:ascii="仿宋" w:hAnsi="仿宋" w:eastAsia="仿宋" w:cs="仿宋"/>
          <w:b w:val="0"/>
          <w:bCs w:val="0"/>
          <w:sz w:val="32"/>
          <w:szCs w:val="32"/>
          <w:lang w:val="en-US" w:eastAsia="zh-CN"/>
        </w:rPr>
        <w:t>7.6.3</w:t>
      </w:r>
      <w:r>
        <w:rPr>
          <w:rFonts w:hint="eastAsia" w:eastAsia="仿宋_GB2312"/>
          <w:sz w:val="32"/>
          <w:szCs w:val="32"/>
        </w:rPr>
        <w:t>非正常工况排污对水功能区的影响及处置措施和对策</w:t>
      </w:r>
    </w:p>
    <w:p>
      <w:pPr>
        <w:keepNext w:val="0"/>
        <w:keepLines w:val="0"/>
        <w:pageBreakBefore w:val="0"/>
        <w:widowControl w:val="0"/>
        <w:numPr>
          <w:ilvl w:val="0"/>
          <w:numId w:val="0"/>
        </w:numPr>
        <w:kinsoku/>
        <w:wordWrap/>
        <w:overflowPunct/>
        <w:topLinePunct w:val="0"/>
        <w:autoSpaceDE/>
        <w:autoSpaceDN/>
        <w:bidi w:val="0"/>
        <w:adjustRightInd w:val="0"/>
        <w:snapToGrid w:val="0"/>
        <w:ind w:left="0" w:leftChars="0" w:firstLine="567"/>
        <w:textAlignment w:val="auto"/>
        <w:rPr>
          <w:rFonts w:hint="eastAsia" w:eastAsia="仿宋_GB2312"/>
          <w:sz w:val="32"/>
          <w:szCs w:val="32"/>
        </w:rPr>
      </w:pPr>
      <w:r>
        <w:rPr>
          <w:rFonts w:hint="eastAsia" w:ascii="仿宋" w:hAnsi="仿宋" w:eastAsia="仿宋" w:cs="仿宋"/>
          <w:b w:val="0"/>
          <w:bCs w:val="0"/>
          <w:sz w:val="32"/>
          <w:szCs w:val="32"/>
          <w:lang w:val="en-US" w:eastAsia="zh-CN"/>
        </w:rPr>
        <w:t>7.6.4</w:t>
      </w:r>
      <w:r>
        <w:rPr>
          <w:rFonts w:hint="eastAsia" w:eastAsia="仿宋_GB2312"/>
          <w:sz w:val="32"/>
          <w:szCs w:val="32"/>
        </w:rPr>
        <w:t>对防洪、供水、堤防安全、河势稳定的影响</w:t>
      </w:r>
    </w:p>
    <w:p>
      <w:pPr>
        <w:keepNext w:val="0"/>
        <w:keepLines w:val="0"/>
        <w:pageBreakBefore w:val="0"/>
        <w:widowControl w:val="0"/>
        <w:numPr>
          <w:ilvl w:val="0"/>
          <w:numId w:val="0"/>
        </w:numPr>
        <w:kinsoku/>
        <w:wordWrap/>
        <w:overflowPunct/>
        <w:topLinePunct w:val="0"/>
        <w:autoSpaceDE/>
        <w:autoSpaceDN/>
        <w:bidi w:val="0"/>
        <w:adjustRightInd w:val="0"/>
        <w:snapToGrid w:val="0"/>
        <w:ind w:left="0" w:leftChars="0" w:firstLine="283"/>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7.7水质保护措施及效果分析</w:t>
      </w:r>
    </w:p>
    <w:p>
      <w:pPr>
        <w:keepNext w:val="0"/>
        <w:keepLines w:val="0"/>
        <w:pageBreakBefore w:val="0"/>
        <w:widowControl w:val="0"/>
        <w:numPr>
          <w:ilvl w:val="0"/>
          <w:numId w:val="1"/>
        </w:numPr>
        <w:kinsoku/>
        <w:wordWrap/>
        <w:overflowPunct/>
        <w:topLinePunct w:val="0"/>
        <w:autoSpaceDE/>
        <w:autoSpaceDN/>
        <w:bidi w:val="0"/>
        <w:adjustRightInd w:val="0"/>
        <w:snapToGrid w:val="0"/>
        <w:ind w:left="454" w:leftChars="0" w:hanging="454" w:firstLineChars="0"/>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环境影响经济损益分析</w:t>
      </w:r>
    </w:p>
    <w:p>
      <w:pPr>
        <w:keepNext w:val="0"/>
        <w:keepLines w:val="0"/>
        <w:pageBreakBefore w:val="0"/>
        <w:widowControl w:val="0"/>
        <w:numPr>
          <w:ilvl w:val="0"/>
          <w:numId w:val="1"/>
        </w:numPr>
        <w:kinsoku/>
        <w:wordWrap/>
        <w:overflowPunct/>
        <w:topLinePunct w:val="0"/>
        <w:autoSpaceDE/>
        <w:autoSpaceDN/>
        <w:bidi w:val="0"/>
        <w:adjustRightInd w:val="0"/>
        <w:snapToGrid w:val="0"/>
        <w:ind w:left="454" w:leftChars="0" w:hanging="454" w:firstLineChars="0"/>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环境管理与监测计划</w:t>
      </w:r>
    </w:p>
    <w:p>
      <w:pPr>
        <w:keepNext w:val="0"/>
        <w:keepLines w:val="0"/>
        <w:pageBreakBefore w:val="0"/>
        <w:widowControl w:val="0"/>
        <w:numPr>
          <w:ilvl w:val="0"/>
          <w:numId w:val="1"/>
        </w:numPr>
        <w:kinsoku/>
        <w:wordWrap/>
        <w:overflowPunct/>
        <w:topLinePunct w:val="0"/>
        <w:autoSpaceDE/>
        <w:autoSpaceDN/>
        <w:bidi w:val="0"/>
        <w:adjustRightInd w:val="0"/>
        <w:snapToGrid w:val="0"/>
        <w:ind w:left="454" w:leftChars="0" w:hanging="454" w:firstLineChars="0"/>
        <w:textAlignment w:val="auto"/>
        <w:rPr>
          <w:rFonts w:hint="eastAsia" w:ascii="仿宋" w:hAnsi="仿宋" w:eastAsia="仿宋" w:cs="仿宋"/>
          <w:b/>
          <w:bCs/>
          <w:sz w:val="32"/>
          <w:szCs w:val="32"/>
          <w:lang w:val="en-US" w:eastAsia="zh-CN"/>
        </w:rPr>
      </w:pPr>
      <w:r>
        <w:rPr>
          <w:rFonts w:hint="eastAsia" w:ascii="仿宋" w:hAnsi="仿宋" w:eastAsia="仿宋" w:cs="仿宋"/>
          <w:b w:val="0"/>
          <w:bCs w:val="0"/>
          <w:color w:val="auto"/>
          <w:sz w:val="32"/>
          <w:szCs w:val="32"/>
          <w:lang w:val="en-US" w:eastAsia="zh-CN"/>
        </w:rPr>
        <w:t>环境影响评价结论（含入河排污口设置论证结论）</w:t>
      </w:r>
      <w:bookmarkStart w:id="0" w:name="_GoBack"/>
      <w:bookmarkEnd w:id="0"/>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b w:val="0"/>
          <w:bCs w:val="0"/>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3"/>
        <w:snapToGrid w:val="0"/>
        <w:rPr>
          <w:rFonts w:hint="default" w:ascii="Times New Roman" w:hAnsi="Times New Roman" w:eastAsia="仿宋" w:cs="Times New Roman"/>
          <w:b w:val="0"/>
          <w:bCs w:val="0"/>
          <w:sz w:val="21"/>
          <w:szCs w:val="21"/>
        </w:rPr>
      </w:pPr>
      <w:r>
        <w:rPr>
          <w:rStyle w:val="6"/>
        </w:rPr>
        <w:footnoteRef/>
      </w:r>
      <w:r>
        <w:t xml:space="preserve"> </w:t>
      </w:r>
      <w:r>
        <w:rPr>
          <w:rFonts w:hint="eastAsia" w:ascii="Times New Roman" w:hAnsi="Times New Roman" w:eastAsia="仿宋" w:cs="Times New Roman"/>
          <w:b w:val="0"/>
          <w:bCs w:val="0"/>
          <w:sz w:val="21"/>
          <w:szCs w:val="21"/>
          <w:lang w:val="en-US" w:eastAsia="zh-CN"/>
        </w:rPr>
        <w:t>编制大纲仅供参考，编制单位可按建设项目实际情况调整。</w:t>
      </w:r>
    </w:p>
  </w:footnote>
  <w:footnote w:id="1">
    <w:p>
      <w:pPr>
        <w:pStyle w:val="3"/>
        <w:snapToGrid w:val="0"/>
        <w:rPr>
          <w:rFonts w:hint="default" w:ascii="Times New Roman" w:hAnsi="Times New Roman" w:eastAsia="仿宋" w:cs="Times New Roman"/>
          <w:sz w:val="21"/>
          <w:szCs w:val="21"/>
        </w:rPr>
      </w:pPr>
      <w:r>
        <w:rPr>
          <w:rStyle w:val="6"/>
          <w:rFonts w:hint="default" w:ascii="Times New Roman" w:hAnsi="Times New Roman" w:eastAsia="仿宋" w:cs="Times New Roman"/>
          <w:sz w:val="21"/>
          <w:szCs w:val="21"/>
        </w:rPr>
        <w:footnoteRef/>
      </w:r>
      <w:r>
        <w:rPr>
          <w:rFonts w:hint="default" w:ascii="Times New Roman" w:hAnsi="Times New Roman" w:eastAsia="仿宋" w:cs="Times New Roman"/>
          <w:sz w:val="21"/>
          <w:szCs w:val="21"/>
        </w:rPr>
        <w:t xml:space="preserve"> </w:t>
      </w:r>
      <w:r>
        <w:rPr>
          <w:rFonts w:hint="default" w:ascii="Times New Roman" w:hAnsi="Times New Roman" w:eastAsia="仿宋" w:cs="Times New Roman"/>
          <w:b w:val="0"/>
          <w:bCs w:val="0"/>
          <w:color w:val="auto"/>
          <w:sz w:val="21"/>
          <w:szCs w:val="21"/>
          <w:lang w:val="en-US" w:eastAsia="zh-CN"/>
        </w:rPr>
        <w:t>入河排污口设置论证章节需提供“</w:t>
      </w:r>
      <w:r>
        <w:rPr>
          <w:rFonts w:hint="default" w:ascii="Times New Roman" w:hAnsi="Times New Roman" w:eastAsia="仿宋" w:cs="Times New Roman"/>
          <w:b w:val="0"/>
          <w:bCs w:val="0"/>
          <w:sz w:val="21"/>
          <w:szCs w:val="21"/>
        </w:rPr>
        <w:t>排污单位-排污管线-入河排污口-受纳水体排污走向图</w:t>
      </w:r>
      <w:r>
        <w:rPr>
          <w:rFonts w:hint="default" w:ascii="Times New Roman" w:hAnsi="Times New Roman" w:eastAsia="仿宋" w:cs="Times New Roman"/>
          <w:b w:val="0"/>
          <w:bCs w:val="0"/>
          <w:color w:val="auto"/>
          <w:sz w:val="21"/>
          <w:szCs w:val="21"/>
          <w:lang w:val="en-US" w:eastAsia="zh-CN"/>
        </w:rPr>
        <w:t>”，</w:t>
      </w:r>
      <w:r>
        <w:rPr>
          <w:rFonts w:hint="default" w:ascii="Times New Roman" w:hAnsi="Times New Roman" w:eastAsia="仿宋" w:cs="Times New Roman"/>
          <w:b w:val="0"/>
          <w:bCs w:val="0"/>
          <w:sz w:val="21"/>
          <w:szCs w:val="21"/>
        </w:rPr>
        <w:t>要求宜采用AutoCAD软件绘制或JPG格式图片，采用JPG格式图片的，分辨率不低于300dpi。图应包括排污单位、入河排污口及受纳水体的位置及排污管线走向，管线路由上需标明长度信息，示意图须标明指北针</w:t>
      </w:r>
      <w:r>
        <w:rPr>
          <w:rFonts w:hint="default" w:ascii="Times New Roman" w:hAnsi="Times New Roman" w:eastAsia="仿宋" w:cs="Times New Roman"/>
          <w:b w:val="0"/>
          <w:bCs w:val="0"/>
          <w:sz w:val="21"/>
          <w:szCs w:val="21"/>
          <w:lang w:eastAsia="zh-CN"/>
        </w:rPr>
        <w:t>。入河排污口设置论证</w:t>
      </w:r>
      <w:r>
        <w:rPr>
          <w:rFonts w:hint="default" w:ascii="Times New Roman" w:hAnsi="Times New Roman" w:eastAsia="仿宋" w:cs="Times New Roman"/>
          <w:b w:val="0"/>
          <w:bCs w:val="0"/>
          <w:sz w:val="21"/>
          <w:szCs w:val="21"/>
          <w:lang w:val="en-US" w:eastAsia="zh-CN"/>
        </w:rPr>
        <w:t>章节具体</w:t>
      </w:r>
      <w:r>
        <w:rPr>
          <w:rFonts w:hint="default" w:ascii="Times New Roman" w:hAnsi="Times New Roman" w:eastAsia="仿宋" w:cs="Times New Roman"/>
          <w:b w:val="0"/>
          <w:bCs w:val="0"/>
          <w:sz w:val="21"/>
          <w:szCs w:val="21"/>
          <w:lang w:eastAsia="zh-CN"/>
        </w:rPr>
        <w:t>编制要求</w:t>
      </w:r>
      <w:r>
        <w:rPr>
          <w:rFonts w:hint="default" w:ascii="Times New Roman" w:hAnsi="Times New Roman" w:eastAsia="仿宋" w:cs="Times New Roman"/>
          <w:b w:val="0"/>
          <w:bCs w:val="0"/>
          <w:sz w:val="21"/>
          <w:szCs w:val="21"/>
          <w:lang w:val="en-US" w:eastAsia="zh-CN"/>
        </w:rPr>
        <w:t>按东环办〔2022〕25号 入河排污口设置审批工作指引附录 H要求执行。</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50BE66"/>
    <w:multiLevelType w:val="singleLevel"/>
    <w:tmpl w:val="AA50BE66"/>
    <w:lvl w:ilvl="0" w:tentative="0">
      <w:start w:val="1"/>
      <w:numFmt w:val="decimal"/>
      <w:suff w:val="space"/>
      <w:lvlText w:val="%1."/>
      <w:lvlJc w:val="left"/>
      <w:pPr>
        <w:ind w:left="454" w:hanging="45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YzU2NDZlZWRhZGY1YzdjNGExMDUwNGJjODllMjkifQ=="/>
  </w:docVars>
  <w:rsids>
    <w:rsidRoot w:val="00000000"/>
    <w:rsid w:val="11CE6F94"/>
    <w:rsid w:val="20F62D3B"/>
    <w:rsid w:val="32F32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kern w:val="0"/>
      <w:sz w:val="18"/>
      <w:szCs w:val="20"/>
    </w:rPr>
  </w:style>
  <w:style w:type="paragraph" w:styleId="3">
    <w:name w:val="footnote text"/>
    <w:basedOn w:val="1"/>
    <w:qFormat/>
    <w:uiPriority w:val="0"/>
    <w:pPr>
      <w:snapToGrid w:val="0"/>
      <w:jc w:val="left"/>
    </w:pPr>
    <w:rPr>
      <w:sz w:val="18"/>
    </w:rPr>
  </w:style>
  <w:style w:type="character" w:styleId="5">
    <w:name w:val="page number"/>
    <w:basedOn w:val="4"/>
    <w:uiPriority w:val="0"/>
  </w:style>
  <w:style w:type="character" w:styleId="6">
    <w:name w:val="footnote reference"/>
    <w:basedOn w:val="4"/>
    <w:uiPriority w:val="0"/>
    <w:rPr>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2023-12-03T05:21:00Z</dcterms:created>
  <dc:creator>86136</dc:creator>
  <cp:lastModifiedBy>Administrator</cp:lastModifiedBy>
  <dcterms:modified xsi:type="dcterms:W3CDTF">2024-05-15T10:08:27Z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7FCB049DF9A84F43A16384F79E1992E2_12</vt:lpwstr>
  </property>
</Properties>
</file>